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об оказании 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16/10/2023-01 Н/З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г. Санкт-Петербург</w:t>
        <w:tab/>
        <w:tab/>
        <w:tab/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«16» октября 2023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«Флэтрум»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Дмитрия Владимировича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«Компания»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Гражданин Республике Беларусь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Богданов Виталий Олегович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именуемая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«Заказчик»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заключили настоящее Соглашение о нижеследующем: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2880"/>
        </w:tabs>
        <w:spacing w:after="12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На основании обращения Заказчика о намерении приобрести Квартиру в жилом доме, Компания:</w:t>
        <w:br w:type="textWrapping"/>
        <w:br w:type="textWrapping"/>
        <w:t xml:space="preserve">-  ознакомила Заказчика с местоположением Объекта недвижимости;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- предоставила Заказчику информацию о наличии квартиры, имеющей следующие проектные характеристики: строительный/фактический адрес: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Санкт-Петербург, Приморский район , Арцеуловская аллея дом 19, строение 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количество комнат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этаж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1842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31.2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кв.м.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далее – «Квартира»);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- обеспечила Заказчику осмотр Квартиры или ознакомила с планировкой указанной Квартиры;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- проконсультировала Заказчика о порядке заключения Договора на приобретение Квартиры (далее - Договор) с Правообладателем.</w:t>
        <w:br w:type="textWrapping"/>
        <w:br w:type="textWrapping"/>
        <w:t xml:space="preserve">- предоставила Заказчику информацию об инфраструктуре и составе Объекта;</w:t>
        <w:br w:type="textWrapping"/>
        <w:br w:type="textWrapping"/>
        <w:t xml:space="preserve">- ознакомила Заказчика с особенностью отделки Объекта;</w:t>
        <w:br w:type="textWrapping"/>
        <w:br w:type="textWrapping"/>
        <w:t xml:space="preserve">- ознакомила Заказчика со стоимостью Объекта и вариантами его оплаты (единовременная оплата, оплата за счет заемных (кредитных) средств и т.д.);</w:t>
        <w:br w:type="textWrapping"/>
        <w:br w:type="textWrapping"/>
        <w:t xml:space="preserve">- предоставила Заказчику исключительное право на подписание с Правообладателем Договора купли-продажи на Объект;</w:t>
        <w:br w:type="textWrapping"/>
        <w:br w:type="textWrapping"/>
        <w:t xml:space="preserve">- обязуется проводить переговоры с Правообладателем выбранного Заказчиком Объекта на предмет заключения между Заказчиком и Правообладателем Договора на Объект, при необходимости;</w:t>
        <w:br w:type="textWrapping"/>
        <w:br w:type="textWrapping"/>
        <w:t xml:space="preserve">- обязуется технически организовать подписание Договора на Объект между Заказчиком и Правообладателем, при необходимости;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2. Заказчик обязуется заключить Договор на приобретение Квартиры с Правообладателем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 срок до «30» октября 2023 г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включительно. </w:t>
      </w:r>
    </w:p>
    <w:p w:rsidR="00000000" w:rsidDel="00000000" w:rsidP="00000000" w:rsidRDefault="00000000" w:rsidRPr="00000000" w14:paraId="0000000D">
      <w:pPr>
        <w:tabs>
          <w:tab w:val="left" w:leader="none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3. Компания обязуется в течение срока, указанного в п. 2 настоящего Соглашения, не предлагать Квартиру для приобретения третьим лицам и обеспечить бронирование Квартиры, указанной в п. 1 настоящего Соглашения у Правообладателя по цене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6 150 000 (шесть миллионов сто пятьдесят тысяч)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рублей 00 коп. Стоимость дополнительных расходов, связанных с подписанием и регистрацией Договора,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Заказчик оплачивает за счет собственных средств 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Цена услуги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200 000 (двести тысяч)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рублей (далее - вознаграждение) и оплачивается Компании в следующем порядке: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30 000 (тридцать тысяч)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рублей вносятся в день подписания настоящего соглашения,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170 000 (сто семьдесят тысяч)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рублей вносятся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 день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подписания Договора между Заказчиком и Правообладателем.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При неисполнении Заказчиком обязательств по оплате, предусмотренных настоящим пунктом, Соглашение считается незаключенным. </w:t>
        <w:tab/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2859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5. В случае, если заключение договора между Заказчиком и Правообладателем о передаче прав на вышеуказанную Квартиру не состоится по вине Компании, денежные средства, переданные Компании Заказчиком в порядке п. 4 настоящего Соглашения, подлежат возврату Заказчику в течение 15 (пятнадцати) календарных дней с момента подачи Заказчиком заявления о возврате.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При отказе Заказчика от заключения Договора денежные средства, оговоренные в п. 4 являются невозвратными. </w:t>
      </w:r>
    </w:p>
    <w:p w:rsidR="00000000" w:rsidDel="00000000" w:rsidP="00000000" w:rsidRDefault="00000000" w:rsidRPr="00000000" w14:paraId="00000012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5otruy769lc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bookmarkStart w:colFirst="0" w:colLast="0" w:name="_7j7vygykwe4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Услуги считаются оказанными Компанией Заказчику с момента подписания Заказчиком с Правообладателем Договора. Выполнение Компанией услуг по настоящему соглашению фиксируется в Акте об оказанных услугах, который Стороны договорились подписать в момент подписания Договора. Заказчик, имеющий возражения, должен сообщить о них Компании в течение трех дней со дня получения Акта. В противном случае Акт считается согласованным и принятым Заказчиком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7. Настоящее Соглашение по своему правовому характеру Сторонами признается, как выполнение услуг Компанией в интересах Заказчика. К данному Соглашению применимы положения Главы 39 (Возмездное оказание услуг) Гражданского Кодекса Российской Федерации. Каждая из сторон несет правовую ответственность за нарушение взятых на себя обязательств по настоящему Соглашению. </w:t>
      </w:r>
    </w:p>
    <w:p w:rsidR="00000000" w:rsidDel="00000000" w:rsidP="00000000" w:rsidRDefault="00000000" w:rsidRPr="00000000" w14:paraId="00000016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8. В случае возникновения споров между Сторонами настоящего Соглашения, Стороны разрешают их путем переговоров. Изменения условий Соглашения, которые будут достигнуты между Сторонами в ходе переговоров об устранении возникших споров, оформляются в письменной форме.  </w:t>
      </w:r>
    </w:p>
    <w:p w:rsidR="00000000" w:rsidDel="00000000" w:rsidP="00000000" w:rsidRDefault="00000000" w:rsidRPr="00000000" w14:paraId="00000018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9.  Споры по настоящему Соглашению, которые не разрешены путем переговоров, решаются в судебном порядке по месту нахождения Компании, указанному в настоящем Соглашении по действующему гражданскому законодательству на момент подписания Соглашения. </w:t>
      </w:r>
    </w:p>
    <w:p w:rsidR="00000000" w:rsidDel="00000000" w:rsidP="00000000" w:rsidRDefault="00000000" w:rsidRPr="00000000" w14:paraId="0000001A">
      <w:pPr>
        <w:tabs>
          <w:tab w:val="left" w:leader="none" w:pos="1875"/>
        </w:tabs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10.   Настоящее Соглашение составлено в двух экземплярах, имеющих одинаковую юридическую силу, по одному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экземпляру для каждой из Сторон.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11. В соответствие с Федеральным законом «О персональных данных» № 152-ФЗ от 27.07.2006 г. настоящим  Заказчик выражает согласие Компании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Заказчиком Оператору данных документа, удостоверяющего личность, а также иных персональных данных, переданных Заказчиком Оператору при заключении и исполнении настоящего Соглашения, в том числе передачу третьим лицам, в целях связанных с подготовкой и заключением Заказчиком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Заказчиком с третьими лицами договоров ипотечного кредитования и ипотечного страхования, в целях предоставления Заказчику информации об оказываемых Оператором услугах, которые могут представлять для Заказчика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подписания настоящего Соглашения Заказчиком настоящим Заказчик выражает свое согласие Компании на обработку персональных данных в порядке и на условиях, указанных в настоящем пункте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2"/>
        <w:gridCol w:w="4813"/>
        <w:tblGridChange w:id="0">
          <w:tblGrid>
            <w:gridCol w:w="4812"/>
            <w:gridCol w:w="4813"/>
          </w:tblGrid>
        </w:tblGridChange>
      </w:tblGrid>
      <w:tr>
        <w:trPr>
          <w:cantSplit w:val="0"/>
          <w:trHeight w:val="205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Компания:</w:t>
            </w:r>
          </w:p>
          <w:p w:rsidR="00000000" w:rsidDel="00000000" w:rsidP="00000000" w:rsidRDefault="00000000" w:rsidRPr="00000000" w14:paraId="00000024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«Флэтрум»</w:t>
            </w:r>
          </w:p>
          <w:p w:rsidR="00000000" w:rsidDel="00000000" w:rsidP="00000000" w:rsidRDefault="00000000" w:rsidRPr="00000000" w14:paraId="00000025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Юридический адрес: 196247, Санкт-Петербург, </w:t>
            </w:r>
          </w:p>
          <w:p w:rsidR="00000000" w:rsidDel="00000000" w:rsidP="00000000" w:rsidRDefault="00000000" w:rsidRPr="00000000" w14:paraId="00000026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Ленинский пр., д 153, литер А,  пом. 316Н, офис 1001</w:t>
            </w:r>
          </w:p>
          <w:p w:rsidR="00000000" w:rsidDel="00000000" w:rsidP="00000000" w:rsidRDefault="00000000" w:rsidRPr="00000000" w14:paraId="00000027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ИНН 7810712947 КПП 781001001</w:t>
            </w:r>
          </w:p>
          <w:p w:rsidR="00000000" w:rsidDel="00000000" w:rsidP="00000000" w:rsidRDefault="00000000" w:rsidRPr="00000000" w14:paraId="00000028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р/с № 40702810210001010063 в АО "ТИНЬКОФФ БАНК" БИК 044525974</w:t>
            </w:r>
          </w:p>
          <w:p w:rsidR="00000000" w:rsidDel="00000000" w:rsidP="00000000" w:rsidRDefault="00000000" w:rsidRPr="00000000" w14:paraId="00000029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кор. счет № 30101810145250000974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Ходасевич Д.В.  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Богданов Виталий Олегович,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14.04.1994, место рождения: Республика Беларусь, Витебск, пол муж., паспорт ВМ 2573193 выдан 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г. Витебск Железнодорожный РОВД, дата выдачи 15.10.2018г., срок действия до 15.10.2028 г. временно зарегистрирован по адресу: СПб, пр. Королева, д. 66, к.1, стр.1 кв. 44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Тел.:</w:t>
              <w:br w:type="textWrapping"/>
              <w:t xml:space="preserve">Эл. Почта: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Богданов В.О.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4005"/>
        </w:tabs>
        <w:ind w:hanging="141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</w:rPr>
        <w:drawing>
          <wp:inline distB="114300" distT="114300" distL="114300" distR="114300">
            <wp:extent cx="1026477" cy="102647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6477" cy="1026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005"/>
        </w:tabs>
        <w:ind w:hanging="141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44">
      <w:pPr>
        <w:tabs>
          <w:tab w:val="left" w:leader="none" w:pos="4005"/>
        </w:tabs>
        <w:ind w:hanging="14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005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ind w:left="2409.448818897638" w:right="843" w:firstLine="0"/>
      <w:rPr>
        <w:rFonts w:ascii="Century Gothic" w:cs="Century Gothic" w:eastAsia="Century Gothic" w:hAnsi="Century Gothic"/>
        <w:b w:val="1"/>
        <w:sz w:val="20"/>
        <w:szCs w:val="20"/>
      </w:rPr>
    </w:pPr>
    <w:bookmarkStart w:colFirst="0" w:colLast="0" w:name="_1fob9te" w:id="4"/>
    <w:bookmarkEnd w:id="4"/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ООО «Флэтрум»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-95249</wp:posOffset>
          </wp:positionV>
          <wp:extent cx="1642559" cy="1078548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384" r="1384" t="0"/>
                  <a:stretch>
                    <a:fillRect/>
                  </a:stretch>
                </pic:blipFill>
                <pic:spPr>
                  <a:xfrm>
                    <a:off x="0" y="0"/>
                    <a:ext cx="1642559" cy="10785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ageBreakBefore w:val="0"/>
      <w:ind w:left="2976.377952755906" w:firstLine="0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196247, город Санкт-Петербург, Ленинский проспект, дом 153, Литер А,</w:t>
    </w:r>
  </w:p>
  <w:p w:rsidR="00000000" w:rsidDel="00000000" w:rsidP="00000000" w:rsidRDefault="00000000" w:rsidRPr="00000000" w14:paraId="0000004D">
    <w:pPr>
      <w:pageBreakBefore w:val="0"/>
      <w:ind w:left="2409.448818897638" w:firstLine="0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 Помещение 316Н, офис 1001</w:t>
    </w:r>
  </w:p>
  <w:p w:rsidR="00000000" w:rsidDel="00000000" w:rsidP="00000000" w:rsidRDefault="00000000" w:rsidRPr="00000000" w14:paraId="0000004E">
    <w:pPr>
      <w:pageBreakBefore w:val="0"/>
      <w:ind w:left="2409.448818897638" w:firstLine="0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6"/>
        <w:szCs w:val="16"/>
        <w:rtl w:val="0"/>
      </w:rPr>
      <w:t xml:space="preserve"> ИНН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16"/>
        <w:szCs w:val="16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16"/>
        <w:szCs w:val="16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 1177847356785  </w:t>
    </w:r>
  </w:p>
  <w:p w:rsidR="00000000" w:rsidDel="00000000" w:rsidP="00000000" w:rsidRDefault="00000000" w:rsidRPr="00000000" w14:paraId="0000004F">
    <w:pPr>
      <w:ind w:left="2409.448818897638" w:firstLine="0"/>
      <w:rPr>
        <w:rFonts w:ascii="Century Gothic" w:cs="Century Gothic" w:eastAsia="Century Gothic" w:hAnsi="Century Gothic"/>
        <w:b w:val="1"/>
        <w:sz w:val="16"/>
        <w:szCs w:val="16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6"/>
        <w:szCs w:val="16"/>
        <w:highlight w:val="white"/>
        <w:rtl w:val="0"/>
      </w:rPr>
      <w:t xml:space="preserve"> р/с № 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40702810210001010063 в АО "ТИНЬКОФФ БАНК"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highlight w:val="white"/>
        <w:rtl w:val="0"/>
      </w:rPr>
      <w:t xml:space="preserve">, БИК 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044525974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highlight w:val="white"/>
        <w:rtl w:val="0"/>
      </w:rPr>
      <w:t xml:space="preserve">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ind w:left="2409.448818897638" w:firstLine="0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6"/>
        <w:szCs w:val="16"/>
        <w:highlight w:val="white"/>
        <w:rtl w:val="0"/>
      </w:rPr>
      <w:t xml:space="preserve"> кор. счет № 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30101810145250000974</w:t>
    </w:r>
  </w:p>
  <w:p w:rsidR="00000000" w:rsidDel="00000000" w:rsidP="00000000" w:rsidRDefault="00000000" w:rsidRPr="00000000" w14:paraId="00000051">
    <w:pPr>
      <w:pageBreakBefore w:val="0"/>
      <w:ind w:left="2409.448818897638" w:firstLine="0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-168111</wp:posOffset>
              </wp:positionH>
              <wp:positionV relativeFrom="page">
                <wp:posOffset>1402715</wp:posOffset>
              </wp:positionV>
              <wp:extent cx="7893050" cy="2930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07350" y="3902250"/>
                        <a:ext cx="7677300" cy="960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-168111</wp:posOffset>
              </wp:positionH>
              <wp:positionV relativeFrom="page">
                <wp:posOffset>1402715</wp:posOffset>
              </wp:positionV>
              <wp:extent cx="7893050" cy="2930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3050" cy="293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ageBreakBefore w:val="0"/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4"/>
      </w:tabs>
      <w:rPr>
        <w:color w:val="000000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