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jc w:val="left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bookmarkStart w:colFirst="0" w:colLast="0" w:name="_heading=h.ex4a8oftsv5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80" w:firstLine="720"/>
        <w:jc w:val="left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Соглашение № 27/02/2026-01 В/З</w:t>
      </w:r>
    </w:p>
    <w:p w:rsidR="00000000" w:rsidDel="00000000" w:rsidP="00000000" w:rsidRDefault="00000000" w:rsidRPr="00000000" w14:paraId="00000003">
      <w:pPr>
        <w:ind w:left="2880" w:firstLine="720"/>
        <w:jc w:val="left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bookmarkStart w:colFirst="0" w:colLast="0" w:name="_heading=h.lzr2nmz0ha6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 г. Санкт-Петербург</w:t>
        <w:tab/>
        <w:tab/>
        <w:tab/>
        <w:t xml:space="preserve">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«27» февраля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Общество с ограниченной ответственностью «Флэтрум»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Ходасевича Дмитрия Владимировича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«Сторона 1»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Гражданка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Григорьева Яна Вячеславовна,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именуемая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«Сторона 2»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подписали настоящее Соглашение о нижеследующем: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1fob9t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Подписанием настоящего Со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глашения Сторона 1 обязуется обеспечить заключение Стороной 2 Договора купли-продажи (далее – Договор) в жилом комплексе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«Дом на Набережной»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расположенном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Ленинградская область, Волховский муниципальный район, Волховское городское поселение, город Волхов, Волховский проспект, дом 53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следующий объект: количество комнат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секция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3,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этаж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 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№ 105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(общая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40,4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кв.м.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5f8ncffaxufn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  <w:tab/>
        <w:t xml:space="preserve">Стороны пришли к взаимному соглашению, что цена по Договору составит: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3 587 520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три миллиона пятьсот восемьдесят семь тысяч пятьсот двадцать)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рублей 00 коп.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Стоимость дополнительных расходов, связанных с подписанием и регистрацией Договора, составит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55 000 (пятьдесят пять тысяч) руб. 00 коп.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 Вышеуказанная стоимость действительна только в случае заключения Стороной 2 Договора в срок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«20» марта 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30 000 (тридцать тысяч)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рублей 00 коп. в день подписания настоящего Соглашения.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Сумму обеспечения после заключения Стороной 2 Договора, Сторона 1 возвращает Стороне 2 на основании предоставленной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случае, если в указанный в п.1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приложением документов, подтверждающих отказ банка в выдаче ипотечного кредита.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случае, если в указанный в п.1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случае, если в указанный в п.1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14">
      <w:pPr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2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35"/>
        <w:gridCol w:w="4530"/>
        <w:tblGridChange w:id="0">
          <w:tblGrid>
            <w:gridCol w:w="4935"/>
            <w:gridCol w:w="4530"/>
          </w:tblGrid>
        </w:tblGridChange>
      </w:tblGrid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Сторона 1:</w:t>
            </w:r>
          </w:p>
          <w:p w:rsidR="00000000" w:rsidDel="00000000" w:rsidP="00000000" w:rsidRDefault="00000000" w:rsidRPr="00000000" w14:paraId="00000017">
            <w:pPr>
              <w:ind w:right="8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ООО «Флэтрум»</w:t>
            </w:r>
          </w:p>
          <w:p w:rsidR="00000000" w:rsidDel="00000000" w:rsidP="00000000" w:rsidRDefault="00000000" w:rsidRPr="00000000" w14:paraId="00000018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адрес: 196247, Санкт-Петербург, </w:t>
            </w:r>
          </w:p>
          <w:p w:rsidR="00000000" w:rsidDel="00000000" w:rsidP="00000000" w:rsidRDefault="00000000" w:rsidRPr="00000000" w14:paraId="00000019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Ленинский пр., д 153, литер А,  пом. 316Н,</w:t>
            </w:r>
          </w:p>
          <w:p w:rsidR="00000000" w:rsidDel="00000000" w:rsidP="00000000" w:rsidRDefault="00000000" w:rsidRPr="00000000" w14:paraId="0000001A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офис 1001</w:t>
            </w:r>
          </w:p>
          <w:p w:rsidR="00000000" w:rsidDel="00000000" w:rsidP="00000000" w:rsidRDefault="00000000" w:rsidRPr="00000000" w14:paraId="0000001B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 7810712947</w:t>
            </w:r>
          </w:p>
          <w:p w:rsidR="00000000" w:rsidDel="00000000" w:rsidP="00000000" w:rsidRDefault="00000000" w:rsidRPr="00000000" w14:paraId="0000001C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 781001001</w:t>
            </w:r>
          </w:p>
          <w:p w:rsidR="00000000" w:rsidDel="00000000" w:rsidP="00000000" w:rsidRDefault="00000000" w:rsidRPr="00000000" w14:paraId="0000001D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р/с № 40702810210001010063 в АО "ТИНЬКОФФ БАНК" БИК 044525974</w:t>
            </w:r>
          </w:p>
          <w:p w:rsidR="00000000" w:rsidDel="00000000" w:rsidP="00000000" w:rsidRDefault="00000000" w:rsidRPr="00000000" w14:paraId="0000001E">
            <w:pPr>
              <w:ind w:right="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кор. счет № 30101810145250000974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Ходасевич Д. В.   ___________________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4005"/>
              </w:tabs>
              <w:ind w:hanging="14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159828" cy="1140001"/>
                  <wp:effectExtent b="0" l="0" r="0" t="0"/>
                  <wp:docPr id="12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28" cy="11400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Сторона 2: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2et92p0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Григорьева Яна Вячеславовна,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22.06.1990 г., паспорт 4112 492915 выдан ТП №89 отдела УФМС России по Санкт-Петербургу и Ленинградской обл. в Волховском р-не 25.12.2012, код подразделения 470-005, пол жен., место рождения: гор. Волхов Ленинградская обл., зарегистрирован по адресу: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гор. Волхов, ул. Нахимова, д. 3, кв. 42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bookmarkStart w:colFirst="0" w:colLast="0" w:name="_heading=h.7le3v3gn8sfh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u2e61ba2rngo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ел.: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nabf0g7qrl0w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8g039hcp7oj1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Почта: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Григорьева Я.В.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005"/>
              </w:tabs>
              <w:ind w:firstLine="283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4005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3E">
      <w:pPr>
        <w:tabs>
          <w:tab w:val="left" w:leader="none" w:pos="4005"/>
        </w:tabs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005"/>
        </w:tabs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4005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ind w:right="843" w:hanging="567"/>
      <w:rPr>
        <w:rFonts w:ascii="Century Gothic" w:cs="Century Gothic" w:eastAsia="Century Gothic" w:hAnsi="Century Gothic"/>
        <w:b w:val="1"/>
        <w:bCs w:val="1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0"/>
        <w:szCs w:val="20"/>
        <w:rtl w:val="0"/>
      </w:rPr>
      <w:t xml:space="preserve"> ООО «Флэтрум»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85842</wp:posOffset>
          </wp:positionH>
          <wp:positionV relativeFrom="paragraph">
            <wp:posOffset>104775</wp:posOffset>
          </wp:positionV>
          <wp:extent cx="1523175" cy="1002348"/>
          <wp:effectExtent b="0" l="0" r="0" t="0"/>
          <wp:wrapSquare wrapText="bothSides" distB="0" distT="0" distL="114300" distR="114300"/>
          <wp:docPr id="1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383" r="1378" t="0"/>
                  <a:stretch>
                    <a:fillRect/>
                  </a:stretch>
                </pic:blipFill>
                <pic:spPr>
                  <a:xfrm>
                    <a:off x="0" y="0"/>
                    <a:ext cx="1523175" cy="10023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196128, город Санкт-Петербург, Кузнецовская ул, д. 11 литера А,</w:t>
    </w:r>
  </w:p>
  <w:p w:rsidR="00000000" w:rsidDel="00000000" w:rsidP="00000000" w:rsidRDefault="00000000" w:rsidRPr="00000000" w14:paraId="00000043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помещение 63Н, р.м. 12 </w:t>
    </w:r>
  </w:p>
  <w:p w:rsidR="00000000" w:rsidDel="00000000" w:rsidP="00000000" w:rsidRDefault="00000000" w:rsidRPr="00000000" w14:paraId="00000044">
    <w:pPr>
      <w:ind w:left="720"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0"/>
        <w:szCs w:val="20"/>
        <w:rtl w:val="0"/>
      </w:rPr>
      <w:t xml:space="preserve">ИНН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7810712947 </w:t>
    </w: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0"/>
        <w:szCs w:val="20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781001001</w:t>
    </w:r>
  </w:p>
  <w:p w:rsidR="00000000" w:rsidDel="00000000" w:rsidP="00000000" w:rsidRDefault="00000000" w:rsidRPr="00000000" w14:paraId="00000045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0"/>
        <w:szCs w:val="20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1177847356785, </w:t>
    </w: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0"/>
        <w:szCs w:val="20"/>
        <w:highlight w:val="white"/>
        <w:rtl w:val="0"/>
      </w:rPr>
      <w:t xml:space="preserve">р/с</w:t>
    </w: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0"/>
        <w:szCs w:val="20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40702810210001010063                                                                    </w:t>
    </w:r>
  </w:p>
  <w:p w:rsidR="00000000" w:rsidDel="00000000" w:rsidP="00000000" w:rsidRDefault="00000000" w:rsidRPr="00000000" w14:paraId="00000046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                                                   в АО "ТИНЬКОФФ БАНК"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highlight w:val="white"/>
        <w:rtl w:val="0"/>
      </w:rPr>
      <w:t xml:space="preserve">, БИК 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044525974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highlight w:val="white"/>
        <w:rtl w:val="0"/>
      </w:rPr>
      <w:t xml:space="preserve">,</w:t>
    </w:r>
  </w:p>
  <w:p w:rsidR="00000000" w:rsidDel="00000000" w:rsidP="00000000" w:rsidRDefault="00000000" w:rsidRPr="00000000" w14:paraId="00000047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sz w:val="20"/>
        <w:szCs w:val="20"/>
        <w:highlight w:val="white"/>
        <w:rtl w:val="0"/>
      </w:rPr>
      <w:t xml:space="preserve">                                                          кор. счет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30101810145250000974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-728652</wp:posOffset>
              </wp:positionH>
              <wp:positionV relativeFrom="paragraph">
                <wp:posOffset>-4759</wp:posOffset>
              </wp:positionV>
              <wp:extent cx="16468725" cy="107176"/>
              <wp:effectExtent b="0" l="0" r="0" t="0"/>
              <wp:wrapNone/>
              <wp:docPr id="12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02000" y="3768750"/>
                        <a:ext cx="10488000" cy="225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-728652</wp:posOffset>
              </wp:positionH>
              <wp:positionV relativeFrom="paragraph">
                <wp:posOffset>-4759</wp:posOffset>
              </wp:positionV>
              <wp:extent cx="16468725" cy="107176"/>
              <wp:effectExtent b="0" l="0" r="0" t="0"/>
              <wp:wrapNone/>
              <wp:docPr id="1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68725" cy="10717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0lvoOxR2Eow3LaKlliDPQaQYw==">CgMxLjAyDmguZXg0YThvZnRzdjUzMghoLmdqZGd4czIOaC5senIybm16MGhhNjQyCWguMzBqMHpsbDIJaC4xZm9iOXRlMg5oLjVmOG5jZmZheHVmbjIJaC4yZXQ5MnAwMg5oLjdsZTN2M2duOHNmaDIOaC51MmU2MWJhMnJuZ28yDmgubmFiZjBnN3FybDB3Mg5oLjhnMDM5aGNwN29qMTgAciExbEtOdEVxcy01LXBlbDJQYlZxVS1uXzRWdnY1RG9QR0E=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