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ДОГОВОР </w:t>
      </w:r>
      <w:r w:rsidDel="00000000" w:rsidR="00000000" w:rsidRPr="00000000">
        <w:rPr>
          <w:b w:val="1"/>
          <w:color w:val="000000"/>
          <w:sz w:val="24"/>
          <w:szCs w:val="24"/>
          <w:highlight w:val="yellow"/>
          <w:rtl w:val="0"/>
        </w:rPr>
        <w:t xml:space="preserve">№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А-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760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г.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Санкт-Петербург </w:t>
        <w:tab/>
        <w:t xml:space="preserve">                                 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 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     </w:t>
      </w:r>
      <w:r w:rsidDel="00000000" w:rsidR="00000000" w:rsidRPr="00000000">
        <w:rPr>
          <w:b w:val="1"/>
          <w:color w:val="000000"/>
          <w:sz w:val="22"/>
          <w:szCs w:val="22"/>
          <w:highlight w:val="yellow"/>
          <w:rtl w:val="0"/>
        </w:rPr>
        <w:t xml:space="preserve">«»  2020г.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</w:t>
      </w:r>
      <w:r w:rsidDel="00000000" w:rsidR="00000000" w:rsidRPr="00000000">
        <w:rPr>
          <w:b w:val="1"/>
          <w:color w:val="000000"/>
          <w:sz w:val="22"/>
          <w:szCs w:val="22"/>
          <w:highlight w:val="yellow"/>
          <w:rtl w:val="0"/>
        </w:rPr>
        <w:t xml:space="preserve">Общество с ограниченной ответственностью (ИП) </w:t>
      </w:r>
      <w:r w:rsidDel="00000000" w:rsidR="00000000" w:rsidRPr="00000000">
        <w:rPr>
          <w:b w:val="1"/>
          <w:sz w:val="22"/>
          <w:szCs w:val="22"/>
          <w:rtl w:val="0"/>
        </w:rPr>
        <w:t xml:space="preserve">«_______»</w:t>
      </w:r>
      <w:r w:rsidDel="00000000" w:rsidR="00000000" w:rsidRPr="00000000">
        <w:rPr>
          <w:color w:val="000000"/>
          <w:sz w:val="22"/>
          <w:szCs w:val="22"/>
          <w:highlight w:val="yellow"/>
          <w:rtl w:val="0"/>
        </w:rPr>
        <w:t xml:space="preserve">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именуемое в дальнейшем </w:t>
      </w:r>
      <w:r w:rsidDel="00000000" w:rsidR="00000000" w:rsidRPr="00000000">
        <w:rPr>
          <w:sz w:val="22"/>
          <w:szCs w:val="22"/>
          <w:rtl w:val="0"/>
        </w:rPr>
        <w:t xml:space="preserve">“Агент”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с одной стороны, и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Общество с ограниченной ответственностью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«ВПОДРЯДЕ»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, в лице Генерального директора Ходасевича А.</w:t>
      </w:r>
      <w:r w:rsidDel="00000000" w:rsidR="00000000" w:rsidRPr="00000000">
        <w:rPr>
          <w:sz w:val="22"/>
          <w:szCs w:val="22"/>
          <w:rtl w:val="0"/>
        </w:rPr>
        <w:t xml:space="preserve">О.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действующего на основании Устава,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именуем</w:t>
      </w:r>
      <w:r w:rsidDel="00000000" w:rsidR="00000000" w:rsidRPr="00000000">
        <w:rPr>
          <w:sz w:val="22"/>
          <w:szCs w:val="22"/>
          <w:rtl w:val="0"/>
        </w:rPr>
        <w:t xml:space="preserve">ое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в дальнейшем </w:t>
      </w:r>
      <w:r w:rsidDel="00000000" w:rsidR="00000000" w:rsidRPr="00000000">
        <w:rPr>
          <w:sz w:val="22"/>
          <w:szCs w:val="22"/>
          <w:rtl w:val="0"/>
        </w:rPr>
        <w:t xml:space="preserve">“Компания”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1.1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Компания поручает Агенту привлекать Клиентов (физических и юридических лиц) с целью заключения договоров ДУ/Цессии/КП.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Перечень объектов, предлагаемых потенциальным Клиентам представлен на сайте Компании в разделе </w:t>
      </w:r>
      <w:hyperlink r:id="rId6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https://svodnik.v-podryad.ru/</w:t>
        </w:r>
      </w:hyperlink>
      <w:r w:rsidDel="00000000" w:rsidR="00000000" w:rsidRPr="00000000">
        <w:rPr>
          <w:sz w:val="22"/>
          <w:szCs w:val="22"/>
          <w:rtl w:val="0"/>
        </w:rPr>
        <w:t xml:space="preserve"> (далее - сводник «ВПОДРЯДЕ»).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Все права и обязанности по договорам, заключенным между застройщиками (подрядчиками) и Клиентами, при содействии Агента, возникают у застройщиков (подрядчиков).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Обязанности сторон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2.1.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Агент обязуется: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2.1.1. Занести информацию об объектах в свою базу данных.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2.1.2. За свой счет обеспечить доведение информации об объектах, предоставленной Компанией, до заинтересованных лиц по всем необходимым рекламно-информационным каналам.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2.1.3. Взаимодействовать согласно регламенту, установленному Компанией, прописанному в Приложении №1.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2.1.4. Обеспечить поиск и привлечение потенциальных Клиентов, желающих заключить договор ДУ/Цессии/КП на условиях 100%-й оплаты, ипотеки, субсидий и т.д.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2.1.5. От имени Компании, застройщиков или подрядчиков проводить с Клиентами предварительные переговоры на предмет заключения договоров ДУ/Цессии/КП.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2.1.6. Сохранять конфиденциальность в вопросах, касающихся любой информации по настоящему Договору, разглашение которой способно причинить Компании имущественный или иной ущерб.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2.1.7. При получении согласия Клиента на заключение договора долевого участия в строительстве незамедлительно извещать по телефонной связи и/или по электронной почте Компанию о намерениях Клиента бронировать квартиру с указанием адреса и строительного индекса Квартиры, а также с обязательным предоставлением посредством факсимильной связи и/или электронной почты паспортных данных Клиента и номера телефона.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2.1.8. Сопровождать Клиентов в офис Застройщиков для заключения договоров ДУ/Цессии/КП.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2.2.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Компания обязуется: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2.2.1.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Предоставить Агенту всю необходимую документацию и информацию, подтверждающую право реализовать квартиры, на сайте </w:t>
      </w:r>
      <w:hyperlink r:id="rId7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https://svodnik.v-podryad.ru/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t xml:space="preserve">, а также образцы договоров долевого участия в строительстве в срок, не позднее 10 дней с момента подписания настоящего Договора.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2.2.2.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Выплачивать Агенту вознаграждение в размере и порядке, указанном в Приложении №1 к Договору.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2.2.3.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По мере необходимости обеспечивать Агента информацией о наличии свободных квартир.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2.2.4.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Бронировать квартиру на имя потенциального Клиента.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Порядок расчетов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Размер вознаграждения Агента за услуги, оказанные Компании, Застройщикам, Подрядчикам входит в стоимость квартиры Клиента.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3.2. </w:t>
      </w: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Выплата вознаграждения Агенту может производиться в следующем порядке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3.2.1.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Клиент выплачивает вознаграждение Агенту в соответствии с </w:t>
      </w:r>
      <w:r w:rsidDel="00000000" w:rsidR="00000000" w:rsidRPr="00000000">
        <w:rPr>
          <w:sz w:val="22"/>
          <w:szCs w:val="22"/>
          <w:rtl w:val="0"/>
        </w:rPr>
        <w:t xml:space="preserve">двусторонним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соглашением между Клиентом и Агентом;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3.2.2.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Компания выплачивает вознаграждение Агенту на основе подписанного сторонами акта оказанных услуг.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3.2.3.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Порядок и форма выплаты вознаграждения согласовывается Сторонами до подписания Клиентом, привлеченным Агентом, правоустанавливающих документов на приобретение квартиры или права требования на квартиру.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3.2.4.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Размер и порядок оплаты вознаграждения рассчитывается в актах, подписываемых между Компанией и Агентом. НДС не облагается.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4.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Стороны несут ответственность за неисполнение или ненадлежащее исполнение обязательств по Договору в соответствии с действующим Законодательством РФ.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Агент несет ответственность за передачу фальсифицированных данных о Застройщике и за самостоятельное изменение условий договоров ДУ/Цессии/КП.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5.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Срок действия договора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5.1.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Настоящий Договор вступает в силу с момента его подписания обеими Сторонами и действует до 31.12.2022 г.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5.2.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Если ни одна из Сторон за 30 (тридцать) дней до истечения срока, предусмотренного п. 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.1. настоящего </w:t>
      </w:r>
      <w:r w:rsidDel="00000000" w:rsidR="00000000" w:rsidRPr="00000000">
        <w:rPr>
          <w:sz w:val="22"/>
          <w:szCs w:val="22"/>
          <w:rtl w:val="0"/>
        </w:rPr>
        <w:t xml:space="preserve">Договора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не уведомит другую сторону о его прекращении, действие договора пролонгируется на тех же условиях на новый 12-месячный срок. Количество пролонгаций не ограничено.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5.3.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Договор может быть расторгнут по обоюдному согласию Сторон.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5.4.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Сторона имеет право расторгнуть настоящий Договор в одностороннем порядке, письменно уведомив другую Сторону за 1 месяц.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Прочие условия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6.1.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Изменения и дополнения настоящего Договора допускаются по взаимному соглашению Сторон и оформляются дополнительными соглашениями.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6.2. Споры, возникающие при исполнении настоящего договора, разрешаются путем переговоров. При недостижении соглашения указанные споры передаются на рассмотрение Арбитражного суда Санкт-Петербурга и Ленинградской области с обязательным соблюдением досудебного претензионного порядка. Срок ответа на претензию составляет 20 (двадцать) календарных дней.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6.3.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Компания гарантирует, что квартиры, предлагаемые Клиентам Агентом (при условии своевременного уточнения Агентом информации о Квартирах), не обременены правами третьих лиц.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6.4. Настоящий Договор составлен в 2 (двух) идентичных экземплярах, имеющих одинаковую юридическую силу, по одному экземпляру для каждой из Сторон. При этом настоящий Договор может быть заключен путем обмена копиями посредством факсимильной, почтовой, электронной или иной связи с обязательным последующим обменом подлинными экземплярами Договора, подписанными сторонами. При этом Стороны установили, что электронная и факсимильная копия настоящего Договора, подписанного Сторонами, имеет юридическую силу оригинала до момента замены его оригиналом Договора. Агент со своей стороны гарантирует предоставление подписанного Договора в адрес Компании в течение срока его действия.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7.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Реквизиты и подписи сторон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6.0" w:type="dxa"/>
        <w:jc w:val="left"/>
        <w:tblInd w:w="392.0" w:type="dxa"/>
        <w:tblLayout w:type="fixed"/>
        <w:tblLook w:val="0000"/>
      </w:tblPr>
      <w:tblGrid>
        <w:gridCol w:w="5070"/>
        <w:gridCol w:w="4786"/>
        <w:tblGridChange w:id="0">
          <w:tblGrid>
            <w:gridCol w:w="5070"/>
            <w:gridCol w:w="4786"/>
          </w:tblGrid>
        </w:tblGridChange>
      </w:tblGrid>
      <w:t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hanging="14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Компания: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ООО «ВПОДРЯДЕ»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ИНН 7810712947 КПП 781001001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ОГРН 1177847356785 от 03.11.2017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Юридический адрес: 196247, Санкт-Петербург, Ленинский пр., д 153, литер А, пом. 316Н, офис 1001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Фактический адрес: </w:t>
            </w:r>
            <w:r w:rsidDel="00000000" w:rsidR="00000000" w:rsidRPr="00000000">
              <w:rPr>
                <w:rtl w:val="0"/>
              </w:rPr>
              <w:t xml:space="preserve">196247, Санкт-Петербург, Ленинский пр., д 153, литер А, пом. 316Н, офис 1001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р/с 40702810555000001352 в ПАО «СБЕРБАНК РФ» Санкт-Петербург доп. Офис № 9055/01907 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044030653 к/с 30101810500000000653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Генеральный директор__________/Ходасевич А.О.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Агент: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ООО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Генеральный директор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_____________________/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7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7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760"/>
        </w:tabs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Приложение № 1 к договору </w:t>
      </w:r>
      <w:r w:rsidDel="00000000" w:rsidR="00000000" w:rsidRPr="00000000">
        <w:rPr>
          <w:b w:val="1"/>
          <w:color w:val="000000"/>
          <w:sz w:val="24"/>
          <w:szCs w:val="24"/>
          <w:highlight w:val="yellow"/>
          <w:rtl w:val="0"/>
        </w:rPr>
        <w:t xml:space="preserve">№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А-</w:t>
      </w:r>
      <w:r w:rsidDel="00000000" w:rsidR="00000000" w:rsidRPr="00000000">
        <w:rPr>
          <w:b w:val="1"/>
          <w:sz w:val="24"/>
          <w:szCs w:val="24"/>
          <w:rtl w:val="0"/>
        </w:rPr>
        <w:t xml:space="preserve">  от </w:t>
      </w:r>
      <w:r w:rsidDel="00000000" w:rsidR="00000000" w:rsidRPr="00000000">
        <w:rPr>
          <w:b w:val="1"/>
          <w:color w:val="000000"/>
          <w:sz w:val="22"/>
          <w:szCs w:val="22"/>
          <w:highlight w:val="yellow"/>
          <w:rtl w:val="0"/>
        </w:rPr>
        <w:t xml:space="preserve">«»  2020г.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80"/>
        </w:tabs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Регламент взаимодействия с Компанией «ВПОДРЯДЕ»:</w:t>
      </w:r>
    </w:p>
    <w:p w:rsidR="00000000" w:rsidDel="00000000" w:rsidP="00000000" w:rsidRDefault="00000000" w:rsidRPr="00000000" w14:paraId="00000063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Все бронирования квартир осуществляются ТОЛЬКО в офисе компании ООО "ВПОДРЯДЕ" на реквизиты </w:t>
      </w:r>
      <w:r w:rsidDel="00000000" w:rsidR="00000000" w:rsidRPr="00000000">
        <w:rPr>
          <w:sz w:val="22"/>
          <w:szCs w:val="22"/>
          <w:rtl w:val="0"/>
        </w:rPr>
        <w:t xml:space="preserve">К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омпании, указанные ниже:</w:t>
      </w:r>
    </w:p>
    <w:p w:rsidR="00000000" w:rsidDel="00000000" w:rsidP="00000000" w:rsidRDefault="00000000" w:rsidRPr="00000000" w14:paraId="00000064">
      <w:pPr>
        <w:shd w:fill="ffffff" w:val="clear"/>
        <w:spacing w:after="280" w:before="28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ООО «ВПОДРЯДЕ»</w:t>
      </w:r>
    </w:p>
    <w:p w:rsidR="00000000" w:rsidDel="00000000" w:rsidP="00000000" w:rsidRDefault="00000000" w:rsidRPr="00000000" w14:paraId="00000065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Юридический адрес: 196247 Санкт-Петербург, Ленинский пр., д 153, ЛИТЕР А, пом. 316Н офис 1001.</w:t>
      </w:r>
    </w:p>
    <w:p w:rsidR="00000000" w:rsidDel="00000000" w:rsidP="00000000" w:rsidRDefault="00000000" w:rsidRPr="00000000" w14:paraId="00000066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Фактический адрес: 196247 Санкт-Петербург, Ленинский пр., д 153, ЛИТЕР А, пом. 316Н офис 1001.</w:t>
      </w:r>
    </w:p>
    <w:p w:rsidR="00000000" w:rsidDel="00000000" w:rsidP="00000000" w:rsidRDefault="00000000" w:rsidRPr="00000000" w14:paraId="00000067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 7810712947 КПП 781001001 ОГРН 1177847356785 от 03.11.2017</w:t>
      </w:r>
    </w:p>
    <w:p w:rsidR="00000000" w:rsidDel="00000000" w:rsidP="00000000" w:rsidRDefault="00000000" w:rsidRPr="00000000" w14:paraId="00000068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 40702810555000001352 в ПАО «СБЕРБАНК РФ» Санкт-Петербург</w:t>
      </w:r>
    </w:p>
    <w:p w:rsidR="00000000" w:rsidDel="00000000" w:rsidP="00000000" w:rsidRDefault="00000000" w:rsidRPr="00000000" w14:paraId="00000069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доп. Офис № 9055/01907 БИК 044030653 к/с 30101810500000000653</w:t>
      </w:r>
    </w:p>
    <w:p w:rsidR="00000000" w:rsidDel="00000000" w:rsidP="00000000" w:rsidRDefault="00000000" w:rsidRPr="00000000" w14:paraId="0000006A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Генеральный директор: Ходасевич Алексей Олегович</w:t>
      </w:r>
    </w:p>
    <w:p w:rsidR="00000000" w:rsidDel="00000000" w:rsidP="00000000" w:rsidRDefault="00000000" w:rsidRPr="00000000" w14:paraId="0000006B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• 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Фиксация Клиента осуществляется по ФИО Клиента и телефону, срок фиксации Клиента - 1 месяц.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• В случае, если Клиент уже зафиксирован в СРМ Компании прямым отделом продаж, Агент не может претендовать на проведение сделки и комиссионное вознаграждение по этому Клиенту.</w:t>
      </w:r>
    </w:p>
    <w:p w:rsidR="00000000" w:rsidDel="00000000" w:rsidP="00000000" w:rsidRDefault="00000000" w:rsidRPr="00000000" w14:paraId="0000006D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• Если Клиент обратится в Компанию и лично откажется от работы с Компанией в пользу работы с Агентом, то ему необходимо составить письменное заявление с указанием причин отказа. </w:t>
      </w:r>
    </w:p>
    <w:p w:rsidR="00000000" w:rsidDel="00000000" w:rsidP="00000000" w:rsidRDefault="00000000" w:rsidRPr="00000000" w14:paraId="0000006E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• Если Клиент, закрепленный за Агентом обратится в Компанию на предмет уточняющих вопросов (наличие квартир, формы оплаты, детали сделки и т.д.), Клиенту сообщают, что с ним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свяжется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его Агент, после чего сотрудник отдела продаж, общавшийся с Клиентом передает информацию в агентский отдел.</w:t>
      </w:r>
    </w:p>
    <w:p w:rsidR="00000000" w:rsidDel="00000000" w:rsidP="00000000" w:rsidRDefault="00000000" w:rsidRPr="00000000" w14:paraId="0000006F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• Если в прямой отдел продаж Компании обратится Агент, который не сотрудничает с Компанией по агентскому договору, и сообщает о Клиенте, то прямой отдел продаж Компании передает Агента для дальнейшего сотрудничества в агентский отдел. Сотрудник прямого отдела продаж Компании не консультирует Агента.</w:t>
      </w:r>
    </w:p>
    <w:p w:rsidR="00000000" w:rsidDel="00000000" w:rsidP="00000000" w:rsidRDefault="00000000" w:rsidRPr="00000000" w14:paraId="00000070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• Если в прямой отдел продаж Компании обращается Агент и консультируется у сотрудника прямого отдела продаж (под видом Клиента) на предмет уточняющих вопросов, организации показа и т.д., при выявлении подобных обращений и заключении сделки с Клиентом этого Агента, комиссия Агента урезается на размер комиссионного вознаграждения менеджера отдела продаж. При выявлении звонка Агента через СРМ сотрудник прямого отдела продаж Компании не консультирует Агента и передает информацию о звонившем Агенте в агентский отдел.</w:t>
      </w:r>
    </w:p>
    <w:p w:rsidR="00000000" w:rsidDel="00000000" w:rsidP="00000000" w:rsidRDefault="00000000" w:rsidRPr="00000000" w14:paraId="00000071">
      <w:pPr>
        <w:shd w:fill="ffffff" w:val="clear"/>
        <w:spacing w:after="280" w:before="280" w:lineRule="auto"/>
        <w:jc w:val="both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• Если с сотрудником прямого отдела продаж и Агентом работают разные Клиенты с различными контактами из одного близкого круга на предмет покупки одной и той же квартиры, то данная ситуация рассматривается в  индивидуальном порядке всеми заинтересованными сторонами. В зависимости от особенностей ситуации возможна выплата комиссионного вознаграждения целиком одной из сторон или разделение комиссионного вознаграждения по согласованию сторон.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bookmarkStart w:colFirst="0" w:colLast="0" w:name="_8agqkpy1n4jb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• 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Бронирование квартиры и подписание договора на квартиру.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• При бронировании квартиры, Агент присутствует с Клиентом, предварительно записавшись через агентский отдел по телефону или эл. почте (см. сводник «ВПОДРЯДЕ») и предоставив полную информацию по сделке (форма оплаты, сроки выхода на сделку, данные Клиентов)</w:t>
      </w:r>
    </w:p>
    <w:p w:rsidR="00000000" w:rsidDel="00000000" w:rsidP="00000000" w:rsidRDefault="00000000" w:rsidRPr="00000000" w14:paraId="00000074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• Подписание сделки происходит в сопровождении Агента. При отсутствии Агента на подписании вознаграждение Агенту не оплачивается. Возможно отсутствие Агента по уважительной причине, заранее согласованной с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агентским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отделом. При такой схеме подписания возможно частичное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урезание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комиссионного вознаграждения Агента.</w:t>
      </w:r>
    </w:p>
    <w:p w:rsidR="00000000" w:rsidDel="00000000" w:rsidP="00000000" w:rsidRDefault="00000000" w:rsidRPr="00000000" w14:paraId="00000075">
      <w:pPr>
        <w:shd w:fill="ffffff" w:val="clear"/>
        <w:spacing w:after="280" w:before="2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• Одобрение и /или согласование сделки в банке происходит всегда с участием ипотечного специалиста Компании.</w:t>
      </w:r>
    </w:p>
    <w:p w:rsidR="00000000" w:rsidDel="00000000" w:rsidP="00000000" w:rsidRDefault="00000000" w:rsidRPr="00000000" w14:paraId="00000076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• 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Выплата комиссионного вознаграждения.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• Выплата комиссионного вознаграждения происходит на основании оригинала акта оказанных услуг, согласованного Компанией и подписанного со стороны Агента в течении 10 рабочих дней.</w:t>
      </w:r>
    </w:p>
    <w:p w:rsidR="00000000" w:rsidDel="00000000" w:rsidP="00000000" w:rsidRDefault="00000000" w:rsidRPr="00000000" w14:paraId="00000078">
      <w:pPr>
        <w:shd w:fill="ffffff" w:val="clear"/>
        <w:spacing w:after="280" w:before="280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• Обязанность Компании по выплате комиссионного вознаграждения Агенту наступает</w:t>
      </w:r>
      <w:r w:rsidDel="00000000" w:rsidR="00000000" w:rsidRPr="00000000">
        <w:rPr>
          <w:sz w:val="22"/>
          <w:szCs w:val="22"/>
          <w:rtl w:val="0"/>
        </w:rPr>
        <w:t xml:space="preserve"> после регистрации договора ДДУ/Цессии/КП, подписанного Клиентом, в Росреестре, и полной оплаты Клиентом по договору.</w:t>
      </w:r>
    </w:p>
    <w:p w:rsidR="00000000" w:rsidDel="00000000" w:rsidP="00000000" w:rsidRDefault="00000000" w:rsidRPr="00000000" w14:paraId="00000079">
      <w:pPr>
        <w:shd w:fill="ffffff" w:val="clear"/>
        <w:spacing w:after="280" w:before="28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6.0" w:type="dxa"/>
        <w:jc w:val="left"/>
        <w:tblInd w:w="392.0" w:type="dxa"/>
        <w:tblLayout w:type="fixed"/>
        <w:tblLook w:val="0000"/>
      </w:tblPr>
      <w:tblGrid>
        <w:gridCol w:w="5070"/>
        <w:gridCol w:w="4786"/>
        <w:tblGridChange w:id="0">
          <w:tblGrid>
            <w:gridCol w:w="5070"/>
            <w:gridCol w:w="4786"/>
          </w:tblGrid>
        </w:tblGridChange>
      </w:tblGrid>
      <w:tr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hanging="14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Компания: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ООО «ВПОДРЯДЕ»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Генеральный директор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____________________/Ходасевич А.О.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Агент: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ООО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Генеральный директор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_____________________/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280" w:before="280" w:lineRule="auto"/>
        <w:rPr>
          <w:color w:val="000000"/>
          <w:sz w:val="22"/>
          <w:szCs w:val="22"/>
        </w:rPr>
        <w:sectPr>
          <w:pgSz w:h="16838" w:w="11906" w:orient="portrait"/>
          <w:pgMar w:bottom="720" w:top="720" w:left="720" w:right="72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20" w:top="720" w:left="720" w:right="720" w:header="709" w:footer="709"/>
      <w:pgNumType w:start="1"/>
      <w:cols w:equalWidth="0" w:num="2">
        <w:col w:space="720" w:w="4873"/>
        <w:col w:space="0" w:w="487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vodnik.v-podryad.ru/" TargetMode="External"/><Relationship Id="rId7" Type="http://schemas.openxmlformats.org/officeDocument/2006/relationships/hyperlink" Target="https://svodnik.v-podrya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